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150" w:line="240" w:lineRule="auto"/>
        <w:ind/>
        <w:jc w:val="center"/>
        <w:rPr>
          <w:rFonts w:ascii="PT Astra Serif" w:hAnsi="PT Astra Serif"/>
          <w:b w:val="1"/>
          <w:color w:val="000000"/>
          <w:sz w:val="28"/>
        </w:rPr>
      </w:pPr>
      <w:r>
        <w:rPr>
          <w:rFonts w:ascii="PT Astra Serif" w:hAnsi="PT Astra Serif"/>
          <w:b w:val="1"/>
          <w:color w:val="000000"/>
          <w:sz w:val="28"/>
        </w:rPr>
        <w:t xml:space="preserve">Утвержденные проверочные листы в формате, допускающем их использование для </w:t>
      </w:r>
      <w:r>
        <w:rPr>
          <w:rFonts w:ascii="PT Astra Serif" w:hAnsi="PT Astra Serif"/>
          <w:b w:val="1"/>
          <w:color w:val="000000"/>
          <w:sz w:val="28"/>
        </w:rPr>
        <w:t>самообследования</w:t>
      </w:r>
    </w:p>
    <w:p w14:paraId="02000000">
      <w:pPr>
        <w:spacing w:after="0" w:line="330" w:lineRule="atLeast"/>
        <w:ind w:firstLine="708" w:left="0"/>
        <w:jc w:val="both"/>
        <w:rPr>
          <w:rFonts w:ascii="PT Astra Serif" w:hAnsi="PT Astra Serif"/>
          <w:color w:val="2D2D2D"/>
          <w:sz w:val="28"/>
        </w:rPr>
      </w:pPr>
      <w:r>
        <w:rPr>
          <w:rFonts w:ascii="PT Astra Serif" w:hAnsi="PT Astra Serif"/>
          <w:color w:val="2D2D2D"/>
          <w:sz w:val="28"/>
        </w:rPr>
        <w:t>В соответствии с пунктом 10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утвержденных постановлением Правит</w:t>
      </w:r>
      <w:r>
        <w:rPr>
          <w:rFonts w:ascii="PT Astra Serif" w:hAnsi="PT Astra Serif"/>
          <w:color w:val="2D2D2D"/>
          <w:sz w:val="28"/>
        </w:rPr>
        <w:t>ельства Российской Федерации от </w:t>
      </w:r>
      <w:r>
        <w:rPr>
          <w:rFonts w:ascii="PT Astra Serif" w:hAnsi="PT Astra Serif"/>
          <w:color w:val="2D2D2D"/>
          <w:sz w:val="28"/>
        </w:rPr>
        <w:t>27.10.2021 № 1844 (далее — Требования), проверочные листы подлежат обязательному применению при осуществлении следующих плановых контрольных (надзорных) мероприятий:</w:t>
      </w:r>
    </w:p>
    <w:p w14:paraId="03000000">
      <w:pPr>
        <w:spacing w:after="0" w:line="330" w:lineRule="atLeast"/>
        <w:ind w:firstLine="708" w:left="0"/>
        <w:jc w:val="both"/>
        <w:rPr>
          <w:rFonts w:ascii="PT Astra Serif" w:hAnsi="PT Astra Serif"/>
          <w:color w:val="2D2D2D"/>
          <w:sz w:val="28"/>
        </w:rPr>
      </w:pPr>
      <w:r>
        <w:rPr>
          <w:rFonts w:ascii="PT Astra Serif" w:hAnsi="PT Astra Serif"/>
          <w:color w:val="2D2D2D"/>
          <w:sz w:val="28"/>
        </w:rPr>
        <w:t>а) рейдовы</w:t>
      </w:r>
      <w:r>
        <w:rPr>
          <w:rFonts w:ascii="PT Astra Serif" w:hAnsi="PT Astra Serif"/>
          <w:color w:val="2D2D2D"/>
          <w:sz w:val="28"/>
        </w:rPr>
        <w:t>й осмотр;</w:t>
      </w:r>
    </w:p>
    <w:p w14:paraId="04000000">
      <w:pPr>
        <w:spacing w:after="0" w:line="330" w:lineRule="atLeast"/>
        <w:ind w:firstLine="708" w:left="0"/>
        <w:jc w:val="both"/>
        <w:rPr>
          <w:rFonts w:ascii="PT Astra Serif" w:hAnsi="PT Astra Serif"/>
          <w:color w:val="000000"/>
          <w:sz w:val="28"/>
        </w:rPr>
      </w:pPr>
      <w:r>
        <w:rPr>
          <w:rFonts w:ascii="PT Astra Serif" w:hAnsi="PT Astra Serif"/>
          <w:color w:val="2D2D2D"/>
          <w:sz w:val="28"/>
        </w:rPr>
        <w:t>б) выездная проверка.</w:t>
      </w:r>
    </w:p>
    <w:p w14:paraId="05000000">
      <w:pPr>
        <w:spacing w:after="0" w:line="330" w:lineRule="atLeast"/>
        <w:ind w:firstLine="708" w:left="0"/>
        <w:jc w:val="both"/>
        <w:rPr>
          <w:rFonts w:ascii="PT Astra Serif" w:hAnsi="PT Astra Serif"/>
          <w:color w:val="000000"/>
          <w:sz w:val="28"/>
        </w:rPr>
      </w:pPr>
      <w:r>
        <w:rPr>
          <w:rFonts w:ascii="PT Astra Serif" w:hAnsi="PT Astra Serif"/>
          <w:color w:val="2D2D2D"/>
          <w:sz w:val="28"/>
        </w:rPr>
        <w:t>При этом согласно пункта 12 Требований контрольный (надзорный) орган вправе применять проверочные листы при проведении плановых контрольных (надзорных) мероприятий, не предусмотренных пунктом 10 настоящего документа, внеплановых контрольных (надзорных) мероприятий (за исключением контрольного (надзорного) мероприятия, основанием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основании программы проверок.</w:t>
      </w:r>
    </w:p>
    <w:p w14:paraId="06000000">
      <w:pPr>
        <w:spacing w:after="0" w:line="330" w:lineRule="atLeast"/>
        <w:ind w:firstLine="708" w:left="0"/>
        <w:jc w:val="both"/>
        <w:rPr>
          <w:rFonts w:ascii="PT Astra Serif" w:hAnsi="PT Astra Serif"/>
          <w:color w:val="000000"/>
          <w:sz w:val="28"/>
        </w:rPr>
      </w:pPr>
      <w:r>
        <w:rPr>
          <w:rFonts w:ascii="PT Astra Serif" w:hAnsi="PT Astra Serif"/>
          <w:color w:val="2D2D2D"/>
          <w:sz w:val="28"/>
        </w:rPr>
        <w:t>Положением о муниципальном контроле в сфере благоустройства на территории Новокузнецкого городского округа,</w:t>
      </w:r>
      <w:r>
        <w:rPr>
          <w:rFonts w:ascii="PT Astra Serif" w:hAnsi="PT Astra Serif"/>
          <w:color w:val="000000"/>
          <w:sz w:val="28"/>
        </w:rPr>
        <w:t xml:space="preserve"> </w:t>
      </w:r>
      <w:r>
        <w:rPr>
          <w:rFonts w:ascii="PT Astra Serif" w:hAnsi="PT Astra Serif"/>
          <w:color w:val="000000"/>
          <w:sz w:val="28"/>
        </w:rPr>
        <w:t>утвержденным решением Новокузнецкого городского Совета народных депутатов от 22.02.2022 №1/12,</w:t>
      </w:r>
      <w:r>
        <w:rPr>
          <w:rFonts w:ascii="PT Astra Serif" w:hAnsi="PT Astra Serif"/>
          <w:color w:val="000000"/>
          <w:sz w:val="28"/>
        </w:rPr>
        <w:t xml:space="preserve"> </w:t>
      </w:r>
      <w:r>
        <w:rPr>
          <w:rFonts w:ascii="PT Astra Serif" w:hAnsi="PT Astra Serif"/>
          <w:color w:val="2D2D2D"/>
          <w:sz w:val="28"/>
        </w:rPr>
        <w:t>проведение плановых контрольных (надзорных) мероприя</w:t>
      </w:r>
      <w:r>
        <w:rPr>
          <w:rFonts w:ascii="PT Astra Serif" w:hAnsi="PT Astra Serif"/>
          <w:color w:val="2D2D2D"/>
          <w:sz w:val="28"/>
        </w:rPr>
        <w:t xml:space="preserve">тий не предусмотрено. Решение о </w:t>
      </w:r>
      <w:r>
        <w:rPr>
          <w:rFonts w:ascii="PT Astra Serif" w:hAnsi="PT Astra Serif"/>
          <w:color w:val="2D2D2D"/>
          <w:sz w:val="28"/>
        </w:rPr>
        <w:t>применении</w:t>
      </w:r>
      <w:r>
        <w:rPr>
          <w:rFonts w:ascii="PT Astra Serif" w:hAnsi="PT Astra Serif"/>
          <w:color w:val="2D2D2D"/>
          <w:sz w:val="28"/>
        </w:rPr>
        <w:t xml:space="preserve"> </w:t>
      </w:r>
      <w:r>
        <w:rPr>
          <w:rFonts w:ascii="PT Astra Serif" w:hAnsi="PT Astra Serif"/>
          <w:color w:val="2D2D2D"/>
          <w:sz w:val="28"/>
        </w:rPr>
        <w:t>проверочных</w:t>
      </w:r>
      <w:r>
        <w:rPr>
          <w:rFonts w:ascii="PT Astra Serif" w:hAnsi="PT Astra Serif"/>
          <w:color w:val="2D2D2D"/>
          <w:sz w:val="28"/>
        </w:rPr>
        <w:t xml:space="preserve"> </w:t>
      </w:r>
      <w:r>
        <w:rPr>
          <w:rFonts w:ascii="PT Astra Serif" w:hAnsi="PT Astra Serif"/>
          <w:color w:val="2D2D2D"/>
          <w:sz w:val="28"/>
        </w:rPr>
        <w:t>листов</w:t>
      </w:r>
      <w:r>
        <w:rPr>
          <w:rFonts w:ascii="PT Astra Serif" w:hAnsi="PT Astra Serif"/>
          <w:color w:val="2D2D2D"/>
          <w:sz w:val="28"/>
        </w:rPr>
        <w:t xml:space="preserve"> </w:t>
      </w:r>
      <w:r>
        <w:rPr>
          <w:rFonts w:ascii="PT Astra Serif" w:hAnsi="PT Astra Serif"/>
          <w:color w:val="2D2D2D"/>
          <w:sz w:val="28"/>
        </w:rPr>
        <w:t xml:space="preserve">при проведении внеплановых контрольных (надзорных) мероприятий контрольным </w:t>
      </w:r>
      <w:r>
        <w:rPr>
          <w:rFonts w:ascii="PT Astra Serif" w:hAnsi="PT Astra Serif"/>
          <w:color w:val="2D2D2D"/>
          <w:sz w:val="28"/>
        </w:rPr>
        <w:t>(надзорным) органом</w:t>
      </w:r>
      <w:r>
        <w:rPr>
          <w:rFonts w:ascii="PT Astra Serif" w:hAnsi="PT Astra Serif"/>
          <w:color w:val="2D2D2D"/>
          <w:sz w:val="28"/>
        </w:rPr>
        <w:t xml:space="preserve"> </w:t>
      </w:r>
      <w:bookmarkStart w:id="1" w:name="_GoBack"/>
      <w:bookmarkEnd w:id="1"/>
      <w:r>
        <w:rPr>
          <w:rFonts w:ascii="PT Astra Serif" w:hAnsi="PT Astra Serif"/>
          <w:color w:val="2D2D2D"/>
          <w:sz w:val="28"/>
        </w:rPr>
        <w:t>не принималось.</w:t>
      </w:r>
    </w:p>
    <w:p w14:paraId="07000000">
      <w:pPr>
        <w:spacing w:after="0" w:line="330" w:lineRule="atLeast"/>
        <w:ind w:firstLine="708" w:left="0"/>
        <w:jc w:val="both"/>
        <w:rPr>
          <w:rFonts w:ascii="PT Astra Serif" w:hAnsi="PT Astra Serif"/>
          <w:color w:val="000000"/>
          <w:sz w:val="28"/>
        </w:rPr>
      </w:pPr>
      <w:r>
        <w:rPr>
          <w:rFonts w:ascii="PT Astra Serif" w:hAnsi="PT Astra Serif"/>
          <w:b w:val="0"/>
          <w:i w:val="0"/>
          <w:caps w:val="0"/>
          <w:color w:val="212529"/>
          <w:spacing w:val="0"/>
          <w:sz w:val="28"/>
          <w:highlight w:val="white"/>
        </w:rPr>
        <w:t>Процедура самообследования Положением о муниципальном контроле в сфере благоустройства на территории Новокузнецкого городского округа, утвержденным решением Новокузнецкого городского Совета народных депутатов от 22.02.2022 №1/12, не предусмотрена.</w:t>
      </w:r>
    </w:p>
    <w:p w14:paraId="08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2026-05-14T02:55:44Z</dcterms:modified>
</cp:coreProperties>
</file>